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264" w:rsidRDefault="00C23264" w:rsidP="00C23264">
      <w:pPr>
        <w:rPr>
          <w:sz w:val="28"/>
        </w:rPr>
      </w:pPr>
      <w:r>
        <w:rPr>
          <w:noProof/>
          <w:sz w:val="28"/>
          <w:lang w:eastAsia="fr-FR"/>
        </w:rPr>
        <w:drawing>
          <wp:inline distT="0" distB="0" distL="0" distR="0">
            <wp:extent cx="2054431" cy="2054431"/>
            <wp:effectExtent l="0" t="0" r="3175"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p.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54645" cy="2054645"/>
                    </a:xfrm>
                    <a:prstGeom prst="rect">
                      <a:avLst/>
                    </a:prstGeom>
                  </pic:spPr>
                </pic:pic>
              </a:graphicData>
            </a:graphic>
          </wp:inline>
        </w:drawing>
      </w:r>
      <w:r>
        <w:rPr>
          <w:noProof/>
          <w:lang w:eastAsia="fr-FR"/>
        </w:rPr>
        <w:t xml:space="preserve">                                                                                 </w:t>
      </w:r>
    </w:p>
    <w:p w:rsidR="00DD59B4" w:rsidRPr="002535B6" w:rsidRDefault="00DD59B4" w:rsidP="0031051B">
      <w:pPr>
        <w:jc w:val="both"/>
        <w:rPr>
          <w:sz w:val="28"/>
        </w:rPr>
      </w:pPr>
      <w:r w:rsidRPr="002535B6">
        <w:rPr>
          <w:sz w:val="28"/>
        </w:rPr>
        <w:t xml:space="preserve">Dans le cadre du GAP Histoire-géographie, </w:t>
      </w:r>
      <w:r w:rsidR="00A029E0" w:rsidRPr="002535B6">
        <w:rPr>
          <w:sz w:val="28"/>
        </w:rPr>
        <w:t xml:space="preserve">suite à une intervention de Sandrine </w:t>
      </w:r>
      <w:proofErr w:type="spellStart"/>
      <w:r w:rsidR="00A029E0" w:rsidRPr="002535B6">
        <w:rPr>
          <w:sz w:val="28"/>
        </w:rPr>
        <w:t>Fournié</w:t>
      </w:r>
      <w:proofErr w:type="spellEnd"/>
      <w:r w:rsidR="00A029E0" w:rsidRPr="002535B6">
        <w:rPr>
          <w:sz w:val="28"/>
        </w:rPr>
        <w:t xml:space="preserve"> (docteur en sciences humaines et sociales), </w:t>
      </w:r>
      <w:r w:rsidRPr="002535B6">
        <w:rPr>
          <w:sz w:val="28"/>
        </w:rPr>
        <w:t xml:space="preserve">nous vous proposons des pistes d’activités sur le thème des projets alimentaires territoriaux (PAT). Plusieurs référentiels permettent d’intégrer les activités suivantes dans les classes de l’enseignement agricole : </w:t>
      </w:r>
    </w:p>
    <w:p w:rsidR="0031051B" w:rsidRPr="002535B6" w:rsidRDefault="0031051B" w:rsidP="0031051B">
      <w:pPr>
        <w:pStyle w:val="Paragraphedeliste"/>
        <w:numPr>
          <w:ilvl w:val="0"/>
          <w:numId w:val="2"/>
        </w:numPr>
        <w:jc w:val="both"/>
        <w:rPr>
          <w:sz w:val="28"/>
        </w:rPr>
      </w:pPr>
      <w:r w:rsidRPr="002535B6">
        <w:rPr>
          <w:sz w:val="28"/>
        </w:rPr>
        <w:t>BTS DATR (M53 principalement)</w:t>
      </w:r>
    </w:p>
    <w:p w:rsidR="0031051B" w:rsidRPr="002535B6" w:rsidRDefault="0031051B" w:rsidP="0031051B">
      <w:pPr>
        <w:pStyle w:val="Paragraphedeliste"/>
        <w:numPr>
          <w:ilvl w:val="0"/>
          <w:numId w:val="2"/>
        </w:numPr>
        <w:jc w:val="both"/>
        <w:rPr>
          <w:sz w:val="28"/>
        </w:rPr>
      </w:pPr>
      <w:r w:rsidRPr="002535B6">
        <w:rPr>
          <w:sz w:val="28"/>
        </w:rPr>
        <w:t>BTS ACSE (M51-52 pluri entreprise et territoire)</w:t>
      </w:r>
    </w:p>
    <w:p w:rsidR="0031051B" w:rsidRPr="002535B6" w:rsidRDefault="0031051B" w:rsidP="0031051B">
      <w:pPr>
        <w:pStyle w:val="Paragraphedeliste"/>
        <w:numPr>
          <w:ilvl w:val="0"/>
          <w:numId w:val="2"/>
        </w:numPr>
        <w:jc w:val="both"/>
        <w:rPr>
          <w:sz w:val="28"/>
        </w:rPr>
      </w:pPr>
      <w:r w:rsidRPr="002535B6">
        <w:rPr>
          <w:sz w:val="28"/>
        </w:rPr>
        <w:t>STAV (M6 et/ou M7 en pluri)</w:t>
      </w:r>
    </w:p>
    <w:p w:rsidR="0031051B" w:rsidRPr="002535B6" w:rsidRDefault="0031051B" w:rsidP="0031051B">
      <w:pPr>
        <w:pStyle w:val="Paragraphedeliste"/>
        <w:numPr>
          <w:ilvl w:val="0"/>
          <w:numId w:val="2"/>
        </w:numPr>
        <w:jc w:val="both"/>
        <w:rPr>
          <w:sz w:val="28"/>
        </w:rPr>
      </w:pPr>
      <w:r w:rsidRPr="002535B6">
        <w:rPr>
          <w:sz w:val="28"/>
        </w:rPr>
        <w:t xml:space="preserve">EATDD (2de GT)  et EAT (1ere ou </w:t>
      </w:r>
      <w:proofErr w:type="spellStart"/>
      <w:r w:rsidRPr="002535B6">
        <w:rPr>
          <w:sz w:val="28"/>
        </w:rPr>
        <w:t>Term</w:t>
      </w:r>
      <w:proofErr w:type="spellEnd"/>
      <w:r w:rsidRPr="002535B6">
        <w:rPr>
          <w:sz w:val="28"/>
        </w:rPr>
        <w:t xml:space="preserve"> S)</w:t>
      </w:r>
    </w:p>
    <w:p w:rsidR="00DD59B4" w:rsidRPr="002535B6" w:rsidRDefault="00DD59B4" w:rsidP="0031051B">
      <w:pPr>
        <w:jc w:val="both"/>
        <w:rPr>
          <w:sz w:val="28"/>
        </w:rPr>
      </w:pPr>
      <w:r w:rsidRPr="002535B6">
        <w:rPr>
          <w:sz w:val="28"/>
        </w:rPr>
        <w:t>Nous vous soumettons donc dans ce travail :</w:t>
      </w:r>
    </w:p>
    <w:p w:rsidR="00DD59B4" w:rsidRPr="002535B6" w:rsidRDefault="00DD59B4" w:rsidP="0031051B">
      <w:pPr>
        <w:pStyle w:val="Paragraphedeliste"/>
        <w:numPr>
          <w:ilvl w:val="0"/>
          <w:numId w:val="3"/>
        </w:numPr>
        <w:jc w:val="both"/>
        <w:rPr>
          <w:sz w:val="28"/>
        </w:rPr>
      </w:pPr>
      <w:r w:rsidRPr="002535B6">
        <w:rPr>
          <w:sz w:val="28"/>
        </w:rPr>
        <w:t>Un état des lieux de la recherche sur la question des systèmes alimentaires territoriaux, des PAT</w:t>
      </w:r>
    </w:p>
    <w:p w:rsidR="00DD59B4" w:rsidRPr="002535B6" w:rsidRDefault="00DD59B4" w:rsidP="0031051B">
      <w:pPr>
        <w:pStyle w:val="Paragraphedeliste"/>
        <w:numPr>
          <w:ilvl w:val="0"/>
          <w:numId w:val="3"/>
        </w:numPr>
        <w:jc w:val="both"/>
        <w:rPr>
          <w:sz w:val="28"/>
        </w:rPr>
      </w:pPr>
      <w:r w:rsidRPr="002535B6">
        <w:rPr>
          <w:sz w:val="28"/>
        </w:rPr>
        <w:t>Des documents d’accompagnement pour la mise en œuvre de séquences d’enseignement</w:t>
      </w:r>
    </w:p>
    <w:p w:rsidR="002371FA" w:rsidRDefault="0031051B" w:rsidP="00DD59B4">
      <w:pPr>
        <w:pStyle w:val="Paragraphedeliste"/>
        <w:numPr>
          <w:ilvl w:val="0"/>
          <w:numId w:val="3"/>
        </w:numPr>
        <w:jc w:val="both"/>
        <w:rPr>
          <w:sz w:val="28"/>
        </w:rPr>
      </w:pPr>
      <w:r w:rsidRPr="002535B6">
        <w:rPr>
          <w:sz w:val="28"/>
        </w:rPr>
        <w:t>Bibliographie et sitographie</w:t>
      </w:r>
    </w:p>
    <w:p w:rsidR="002371FA" w:rsidRPr="002371FA" w:rsidRDefault="002371FA" w:rsidP="002371FA">
      <w:pPr>
        <w:jc w:val="both"/>
        <w:rPr>
          <w:sz w:val="28"/>
        </w:rPr>
      </w:pPr>
    </w:p>
    <w:p w:rsidR="00DD59B4" w:rsidRPr="002535B6" w:rsidRDefault="0031051B" w:rsidP="002371FA">
      <w:pPr>
        <w:pStyle w:val="Paragraphedeliste"/>
        <w:jc w:val="both"/>
        <w:rPr>
          <w:sz w:val="28"/>
        </w:rPr>
      </w:pPr>
      <w:r w:rsidRPr="002535B6">
        <w:rPr>
          <w:sz w:val="28"/>
        </w:rPr>
        <w:t xml:space="preserve">  </w:t>
      </w:r>
      <w:r w:rsidR="002371FA">
        <w:rPr>
          <w:noProof/>
          <w:lang w:eastAsia="fr-FR"/>
        </w:rPr>
        <w:drawing>
          <wp:inline distT="0" distB="0" distL="0" distR="0">
            <wp:extent cx="1671544" cy="1649354"/>
            <wp:effectExtent l="0" t="0" r="508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684826" cy="1662459"/>
                    </a:xfrm>
                    <a:prstGeom prst="rect">
                      <a:avLst/>
                    </a:prstGeom>
                  </pic:spPr>
                </pic:pic>
              </a:graphicData>
            </a:graphic>
          </wp:inline>
        </w:drawing>
      </w:r>
      <w:r w:rsidR="002371FA">
        <w:rPr>
          <w:noProof/>
          <w:lang w:eastAsia="fr-FR"/>
        </w:rPr>
        <w:drawing>
          <wp:inline distT="0" distB="0" distL="0" distR="0">
            <wp:extent cx="3792983" cy="1649122"/>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21254" cy="1661414"/>
                    </a:xfrm>
                    <a:prstGeom prst="rect">
                      <a:avLst/>
                    </a:prstGeom>
                    <a:noFill/>
                    <a:ln>
                      <a:noFill/>
                    </a:ln>
                  </pic:spPr>
                </pic:pic>
              </a:graphicData>
            </a:graphic>
          </wp:inline>
        </w:drawing>
      </w:r>
    </w:p>
    <w:p w:rsidR="00FA196C" w:rsidRDefault="00FA196C" w:rsidP="002371FA">
      <w:pPr>
        <w:jc w:val="center"/>
      </w:pPr>
    </w:p>
    <w:p w:rsidR="002371FA" w:rsidRDefault="002371FA">
      <w:pPr>
        <w:rPr>
          <w:b/>
          <w:sz w:val="32"/>
        </w:rPr>
      </w:pPr>
      <w:r>
        <w:rPr>
          <w:b/>
          <w:sz w:val="32"/>
        </w:rPr>
        <w:br w:type="page"/>
      </w:r>
    </w:p>
    <w:p w:rsidR="00FF3E8D" w:rsidRPr="00862A74" w:rsidRDefault="0031051B">
      <w:pPr>
        <w:rPr>
          <w:b/>
          <w:sz w:val="32"/>
        </w:rPr>
      </w:pPr>
      <w:r w:rsidRPr="00862A74">
        <w:rPr>
          <w:b/>
          <w:sz w:val="32"/>
        </w:rPr>
        <w:lastRenderedPageBreak/>
        <w:t>ETAT DES LIEUX DE LA QUESTION</w:t>
      </w:r>
      <w:r w:rsidR="00862A74" w:rsidRPr="00862A74">
        <w:rPr>
          <w:b/>
          <w:sz w:val="32"/>
        </w:rPr>
        <w:t xml:space="preserve"> </w:t>
      </w:r>
      <w:r w:rsidR="00FF3E8D" w:rsidRPr="00862A74">
        <w:rPr>
          <w:sz w:val="32"/>
        </w:rPr>
        <w:t xml:space="preserve">Système alimentaire </w:t>
      </w:r>
    </w:p>
    <w:p w:rsidR="0031051B" w:rsidRDefault="0031051B">
      <w:r>
        <w:t>On peut retenir deux définitions principales :</w:t>
      </w:r>
    </w:p>
    <w:p w:rsidR="00862A74" w:rsidRDefault="00862A74" w:rsidP="00862A74">
      <w:r>
        <w:t xml:space="preserve">Louis </w:t>
      </w:r>
      <w:proofErr w:type="spellStart"/>
      <w:r>
        <w:t>Malassis</w:t>
      </w:r>
      <w:proofErr w:type="spellEnd"/>
      <w:r>
        <w:t> : « manière dont les hommes s’organisent dans l’espace et le temps pour obtenir et consommer leur nourriture »</w:t>
      </w:r>
    </w:p>
    <w:p w:rsidR="0031051B" w:rsidRDefault="0031051B">
      <w:r>
        <w:t xml:space="preserve">José </w:t>
      </w:r>
      <w:proofErr w:type="spellStart"/>
      <w:r>
        <w:t>Muchnik</w:t>
      </w:r>
      <w:proofErr w:type="spellEnd"/>
      <w:r>
        <w:t> : « Organisation et fonctionnement d’un ensemble d’activités productives, sociales et culturelles qui font système »</w:t>
      </w:r>
    </w:p>
    <w:p w:rsidR="00A029E0" w:rsidRDefault="0031051B">
      <w:r>
        <w:t xml:space="preserve">Une typologie des systèmes alimentaires est proposée </w:t>
      </w:r>
      <w:r w:rsidR="00A029E0">
        <w:t xml:space="preserve">par différents chercheurs. Celles de Touzard (2012) ou de </w:t>
      </w:r>
      <w:proofErr w:type="spellStart"/>
      <w:r w:rsidR="00A029E0">
        <w:t>Rastouin</w:t>
      </w:r>
      <w:proofErr w:type="spellEnd"/>
      <w:r w:rsidR="00A029E0">
        <w:t>-</w:t>
      </w:r>
      <w:proofErr w:type="spellStart"/>
      <w:r w:rsidR="00A029E0">
        <w:t>Ghersi</w:t>
      </w:r>
      <w:proofErr w:type="spellEnd"/>
      <w:r w:rsidR="00A029E0">
        <w:t xml:space="preserve">  peuvent permettre de réaliser une première approche du concept et une réflexion sur nos pratiques avec les élèves. </w:t>
      </w:r>
    </w:p>
    <w:p w:rsidR="00862A74" w:rsidRDefault="00FC2656">
      <w:r>
        <w:rPr>
          <w:noProof/>
          <w:lang w:eastAsia="fr-FR"/>
        </w:rPr>
        <w:drawing>
          <wp:inline distT="0" distB="0" distL="0" distR="0">
            <wp:extent cx="6029960" cy="5421758"/>
            <wp:effectExtent l="0" t="0" r="889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29960" cy="5421758"/>
                    </a:xfrm>
                    <a:prstGeom prst="rect">
                      <a:avLst/>
                    </a:prstGeom>
                    <a:noFill/>
                    <a:ln>
                      <a:noFill/>
                    </a:ln>
                  </pic:spPr>
                </pic:pic>
              </a:graphicData>
            </a:graphic>
          </wp:inline>
        </w:drawing>
      </w:r>
      <w:r w:rsidR="00862A74">
        <w:br w:type="page"/>
      </w:r>
    </w:p>
    <w:p w:rsidR="00A029E0" w:rsidRPr="00862A74" w:rsidRDefault="00862A74">
      <w:pPr>
        <w:rPr>
          <w:sz w:val="36"/>
        </w:rPr>
      </w:pPr>
      <w:r w:rsidRPr="00862A74">
        <w:rPr>
          <w:b/>
          <w:sz w:val="32"/>
        </w:rPr>
        <w:lastRenderedPageBreak/>
        <w:t xml:space="preserve">ETAT DES LIEUX DE LA QUESTION </w:t>
      </w:r>
      <w:r w:rsidR="00FF3E8D" w:rsidRPr="00862A74">
        <w:rPr>
          <w:sz w:val="36"/>
        </w:rPr>
        <w:t>PAT</w:t>
      </w:r>
    </w:p>
    <w:p w:rsidR="00A029E0" w:rsidRDefault="00A029E0">
      <w:r>
        <w:rPr>
          <w:noProof/>
          <w:lang w:eastAsia="fr-FR"/>
        </w:rPr>
        <w:drawing>
          <wp:inline distT="0" distB="0" distL="0" distR="0">
            <wp:extent cx="6501947" cy="245819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02708" cy="2458481"/>
                    </a:xfrm>
                    <a:prstGeom prst="rect">
                      <a:avLst/>
                    </a:prstGeom>
                    <a:noFill/>
                    <a:ln>
                      <a:noFill/>
                    </a:ln>
                  </pic:spPr>
                </pic:pic>
              </a:graphicData>
            </a:graphic>
          </wp:inline>
        </w:drawing>
      </w:r>
    </w:p>
    <w:p w:rsidR="00A029E0" w:rsidRDefault="00A029E0">
      <w:r>
        <w:rPr>
          <w:noProof/>
          <w:lang w:eastAsia="fr-FR"/>
        </w:rPr>
        <w:drawing>
          <wp:inline distT="0" distB="0" distL="0" distR="0">
            <wp:extent cx="6507678" cy="301487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06870" cy="3014496"/>
                    </a:xfrm>
                    <a:prstGeom prst="rect">
                      <a:avLst/>
                    </a:prstGeom>
                    <a:noFill/>
                    <a:ln>
                      <a:noFill/>
                    </a:ln>
                  </pic:spPr>
                </pic:pic>
              </a:graphicData>
            </a:graphic>
          </wp:inline>
        </w:drawing>
      </w:r>
    </w:p>
    <w:p w:rsidR="00862A74" w:rsidRDefault="00862A74">
      <w:r>
        <w:br w:type="page"/>
      </w:r>
    </w:p>
    <w:p w:rsidR="00FF3E8D" w:rsidRDefault="00862A74">
      <w:pPr>
        <w:rPr>
          <w:sz w:val="32"/>
        </w:rPr>
      </w:pPr>
      <w:r w:rsidRPr="00862A74">
        <w:rPr>
          <w:b/>
          <w:sz w:val="32"/>
        </w:rPr>
        <w:lastRenderedPageBreak/>
        <w:t xml:space="preserve">ETAT DES LIEUX DE LA QUESTION </w:t>
      </w:r>
      <w:r w:rsidR="0014090C">
        <w:rPr>
          <w:sz w:val="32"/>
        </w:rPr>
        <w:t>V</w:t>
      </w:r>
      <w:r w:rsidR="00FF3E8D" w:rsidRPr="00862A74">
        <w:rPr>
          <w:sz w:val="32"/>
        </w:rPr>
        <w:t xml:space="preserve">ente directe, </w:t>
      </w:r>
      <w:r w:rsidR="0014090C">
        <w:rPr>
          <w:sz w:val="32"/>
        </w:rPr>
        <w:t>c</w:t>
      </w:r>
      <w:r w:rsidR="0014090C" w:rsidRPr="00862A74">
        <w:rPr>
          <w:sz w:val="32"/>
        </w:rPr>
        <w:t>ircuit-court</w:t>
      </w:r>
      <w:r w:rsidR="0014090C">
        <w:rPr>
          <w:sz w:val="32"/>
        </w:rPr>
        <w:t xml:space="preserve">, </w:t>
      </w:r>
      <w:r w:rsidR="00FF3E8D" w:rsidRPr="00862A74">
        <w:rPr>
          <w:sz w:val="32"/>
        </w:rPr>
        <w:t>circuit de proximité</w:t>
      </w:r>
    </w:p>
    <w:p w:rsidR="0014090C" w:rsidRDefault="007244A8">
      <w:pPr>
        <w:rPr>
          <w:sz w:val="24"/>
        </w:rPr>
      </w:pPr>
      <w:r>
        <w:rPr>
          <w:sz w:val="24"/>
        </w:rPr>
        <w:t>Il est important de bien garder</w:t>
      </w:r>
      <w:r w:rsidR="0014090C" w:rsidRPr="0014090C">
        <w:rPr>
          <w:sz w:val="24"/>
        </w:rPr>
        <w:t xml:space="preserve"> à l’esprit les différe</w:t>
      </w:r>
      <w:r w:rsidR="0014090C">
        <w:rPr>
          <w:sz w:val="24"/>
        </w:rPr>
        <w:t xml:space="preserve">nces entre les trois expressions fréquemment </w:t>
      </w:r>
      <w:r w:rsidR="0014090C" w:rsidRPr="0014090C">
        <w:rPr>
          <w:sz w:val="24"/>
        </w:rPr>
        <w:t>utilisées :</w:t>
      </w:r>
    </w:p>
    <w:p w:rsidR="0014090C" w:rsidRDefault="0014090C" w:rsidP="0014090C">
      <w:pPr>
        <w:pStyle w:val="Paragraphedeliste"/>
        <w:numPr>
          <w:ilvl w:val="0"/>
          <w:numId w:val="4"/>
        </w:numPr>
        <w:rPr>
          <w:sz w:val="24"/>
        </w:rPr>
      </w:pPr>
      <w:r>
        <w:rPr>
          <w:sz w:val="24"/>
        </w:rPr>
        <w:t>La vente directe désigne une vente sans intermédiaire, par le producteur lui-même</w:t>
      </w:r>
    </w:p>
    <w:p w:rsidR="0014090C" w:rsidRDefault="0014090C" w:rsidP="0014090C">
      <w:pPr>
        <w:pStyle w:val="Paragraphedeliste"/>
        <w:numPr>
          <w:ilvl w:val="0"/>
          <w:numId w:val="4"/>
        </w:numPr>
        <w:rPr>
          <w:sz w:val="24"/>
        </w:rPr>
      </w:pPr>
      <w:r>
        <w:rPr>
          <w:sz w:val="24"/>
        </w:rPr>
        <w:t>Le circuit-court désigne une vente avec un intermédiaire au maximum</w:t>
      </w:r>
    </w:p>
    <w:p w:rsidR="0014090C" w:rsidRPr="0014090C" w:rsidRDefault="0014090C" w:rsidP="0014090C">
      <w:pPr>
        <w:pStyle w:val="Paragraphedeliste"/>
        <w:numPr>
          <w:ilvl w:val="0"/>
          <w:numId w:val="4"/>
        </w:numPr>
        <w:rPr>
          <w:sz w:val="24"/>
        </w:rPr>
      </w:pPr>
      <w:r>
        <w:rPr>
          <w:sz w:val="24"/>
        </w:rPr>
        <w:t xml:space="preserve">Le circuit de proximité n’a pas de valeur légale mais il implique une faible distance kilométrique entre le producteur et le consommateur. </w:t>
      </w:r>
    </w:p>
    <w:p w:rsidR="00862A74" w:rsidRDefault="0014090C">
      <w:r>
        <w:rPr>
          <w:noProof/>
          <w:lang w:eastAsia="fr-FR"/>
        </w:rPr>
        <w:drawing>
          <wp:inline distT="0" distB="0" distL="0" distR="0">
            <wp:extent cx="4892245" cy="5415148"/>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te-directe.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892973" cy="5415954"/>
                    </a:xfrm>
                    <a:prstGeom prst="rect">
                      <a:avLst/>
                    </a:prstGeom>
                  </pic:spPr>
                </pic:pic>
              </a:graphicData>
            </a:graphic>
          </wp:inline>
        </w:drawing>
      </w:r>
    </w:p>
    <w:p w:rsidR="0014090C" w:rsidRDefault="0014090C">
      <w:pPr>
        <w:rPr>
          <w:b/>
          <w:sz w:val="32"/>
        </w:rPr>
      </w:pPr>
      <w:r>
        <w:rPr>
          <w:b/>
          <w:sz w:val="32"/>
        </w:rPr>
        <w:br w:type="page"/>
      </w:r>
    </w:p>
    <w:p w:rsidR="00BC2FD9" w:rsidRDefault="0014090C">
      <w:pPr>
        <w:rPr>
          <w:sz w:val="32"/>
        </w:rPr>
      </w:pPr>
      <w:r w:rsidRPr="00862A74">
        <w:rPr>
          <w:b/>
          <w:sz w:val="32"/>
        </w:rPr>
        <w:lastRenderedPageBreak/>
        <w:t xml:space="preserve">ETAT DES LIEUX DE LA QUESTION </w:t>
      </w:r>
      <w:r w:rsidR="00BC2FD9" w:rsidRPr="0014090C">
        <w:rPr>
          <w:sz w:val="32"/>
        </w:rPr>
        <w:t>Economie sociale et solidaire</w:t>
      </w:r>
    </w:p>
    <w:p w:rsidR="00AA1D7B" w:rsidRPr="00AA1D7B" w:rsidRDefault="00AA1D7B">
      <w:pPr>
        <w:rPr>
          <w:sz w:val="24"/>
        </w:rPr>
      </w:pPr>
      <w:r w:rsidRPr="00AA1D7B">
        <w:rPr>
          <w:sz w:val="24"/>
        </w:rPr>
        <w:t>Définition sur le site du ministère de l’économie :</w:t>
      </w:r>
    </w:p>
    <w:p w:rsidR="00AA1D7B" w:rsidRPr="007244A8" w:rsidRDefault="00AA1D7B" w:rsidP="00AA1D7B">
      <w:pPr>
        <w:pStyle w:val="Titre1"/>
        <w:rPr>
          <w:sz w:val="28"/>
          <w:szCs w:val="28"/>
        </w:rPr>
      </w:pPr>
      <w:r w:rsidRPr="007244A8">
        <w:rPr>
          <w:sz w:val="28"/>
          <w:szCs w:val="28"/>
        </w:rPr>
        <w:t xml:space="preserve">Qu'est-ce que l'économie sociale et solidaire ? </w:t>
      </w:r>
    </w:p>
    <w:p w:rsidR="00AA1D7B" w:rsidRPr="00F16EE4" w:rsidRDefault="00AA1D7B" w:rsidP="00F16EE4">
      <w:pPr>
        <w:pStyle w:val="NormalWeb"/>
        <w:jc w:val="both"/>
        <w:rPr>
          <w:sz w:val="22"/>
        </w:rPr>
      </w:pPr>
      <w:r w:rsidRPr="00F16EE4">
        <w:rPr>
          <w:sz w:val="22"/>
        </w:rPr>
        <w:t>Le concept d'</w:t>
      </w:r>
      <w:hyperlink r:id="rId12" w:tgtFrame="_blank" w:history="1">
        <w:r w:rsidRPr="00F16EE4">
          <w:rPr>
            <w:rStyle w:val="Lienhypertexte"/>
            <w:sz w:val="22"/>
          </w:rPr>
          <w:t>économie sociale et solidaire</w:t>
        </w:r>
      </w:hyperlink>
      <w:r w:rsidRPr="00F16EE4">
        <w:rPr>
          <w:sz w:val="22"/>
        </w:rPr>
        <w:t xml:space="preserve"> (ESS) désigne un ensemble d'entreprises organisées sous forme de coopératives, mutuelles, associations, ou fondations, dont le fonctionnement interne et les activités sont fondés sur un principe de solidarité et d'utilité sociale. Ces entreprises adoptent des modes de gestion démocratiques et participatifs. Elles encadrent strictement l'utilisation des bénéfices qu'elles réalisent : le profit individuel est proscrit et les résultats sont réinvestis. Leurs ressources financières sont généralement en partie publiques. Elles bénéficient d'un cadre juridique renforcé par la </w:t>
      </w:r>
      <w:hyperlink r:id="rId13" w:tgtFrame="_blank" w:tooltip="" w:history="1">
        <w:r w:rsidRPr="00F16EE4">
          <w:rPr>
            <w:rStyle w:val="Lienhypertexte"/>
            <w:sz w:val="22"/>
          </w:rPr>
          <w:t>loi n° 2014-856 du 31 juillet 2014</w:t>
        </w:r>
      </w:hyperlink>
      <w:r w:rsidRPr="00F16EE4">
        <w:rPr>
          <w:sz w:val="22"/>
        </w:rPr>
        <w:t xml:space="preserve"> relative à l'économie sociale et solidaire.</w:t>
      </w:r>
    </w:p>
    <w:p w:rsidR="00C631BE" w:rsidRDefault="00AA1D7B">
      <w:r>
        <w:t>Il nous paraît nécessaire de distinguer les deux parties de l’expression, car économie sociale et économie solidaire ne sont pas synonymes.</w:t>
      </w:r>
    </w:p>
    <w:p w:rsidR="00AA1D7B" w:rsidRDefault="00AA1D7B">
      <w:r>
        <w:t>L’économie sociale se rencontre avec les structures coopératives, l’épargne collective…</w:t>
      </w:r>
    </w:p>
    <w:p w:rsidR="00AA1D7B" w:rsidRDefault="00AA1D7B">
      <w:r>
        <w:t>L’économie solidaire correspond plutôt à des structures de réinsertion (ESAT, Emmaüs, armée du salut…)</w:t>
      </w:r>
    </w:p>
    <w:p w:rsidR="00AA1D7B" w:rsidRDefault="00AA1D7B"/>
    <w:p w:rsidR="00AA1D7B" w:rsidRDefault="00AA1D7B">
      <w:pPr>
        <w:rPr>
          <w:b/>
          <w:sz w:val="32"/>
        </w:rPr>
      </w:pPr>
      <w:r>
        <w:rPr>
          <w:b/>
          <w:sz w:val="32"/>
        </w:rPr>
        <w:br w:type="page"/>
      </w:r>
    </w:p>
    <w:p w:rsidR="00C631BE" w:rsidRDefault="00C631BE" w:rsidP="00C631BE">
      <w:pPr>
        <w:jc w:val="both"/>
        <w:rPr>
          <w:sz w:val="32"/>
        </w:rPr>
      </w:pPr>
      <w:r w:rsidRPr="00C631BE">
        <w:rPr>
          <w:b/>
          <w:sz w:val="32"/>
        </w:rPr>
        <w:lastRenderedPageBreak/>
        <w:t>PISTES PEDAGOGIQUES</w:t>
      </w:r>
      <w:r w:rsidRPr="00C631BE">
        <w:rPr>
          <w:sz w:val="32"/>
        </w:rPr>
        <w:t xml:space="preserve"> </w:t>
      </w:r>
      <w:r>
        <w:rPr>
          <w:sz w:val="32"/>
        </w:rPr>
        <w:t>EATDD OU STAV</w:t>
      </w:r>
    </w:p>
    <w:p w:rsidR="00C631BE" w:rsidRDefault="00C631BE" w:rsidP="00C631BE">
      <w:pPr>
        <w:jc w:val="both"/>
        <w:rPr>
          <w:sz w:val="24"/>
          <w:szCs w:val="20"/>
        </w:rPr>
      </w:pPr>
      <w:r w:rsidRPr="00C631BE">
        <w:rPr>
          <w:sz w:val="24"/>
          <w:szCs w:val="20"/>
        </w:rPr>
        <w:t xml:space="preserve">Avec des élèves de </w:t>
      </w:r>
      <w:r>
        <w:rPr>
          <w:sz w:val="24"/>
          <w:szCs w:val="20"/>
        </w:rPr>
        <w:t xml:space="preserve">2de GT  dans le cadre de l’EATDD, on pourrait réfléchir à nos pratiques alimentaires. Un travail sur la restauration dans l’établissement (cartographie de l’origine des aliments), sur la relation cantine-exploitation du lycée, </w:t>
      </w:r>
      <w:r w:rsidRPr="007244A8">
        <w:rPr>
          <w:sz w:val="24"/>
          <w:szCs w:val="20"/>
          <w:highlight w:val="yellow"/>
        </w:rPr>
        <w:t>une réflexion s</w:t>
      </w:r>
      <w:r w:rsidR="007244A8" w:rsidRPr="007244A8">
        <w:rPr>
          <w:sz w:val="24"/>
          <w:szCs w:val="20"/>
          <w:highlight w:val="yellow"/>
        </w:rPr>
        <w:t xml:space="preserve">ur le convertisseur de </w:t>
      </w:r>
      <w:r w:rsidR="007244A8" w:rsidRPr="007244A8">
        <w:rPr>
          <w:i/>
          <w:sz w:val="24"/>
          <w:szCs w:val="20"/>
          <w:highlight w:val="yellow"/>
        </w:rPr>
        <w:t>Terre</w:t>
      </w:r>
      <w:r w:rsidRPr="007244A8">
        <w:rPr>
          <w:i/>
          <w:sz w:val="24"/>
          <w:szCs w:val="20"/>
          <w:highlight w:val="yellow"/>
        </w:rPr>
        <w:t xml:space="preserve"> de liens</w:t>
      </w:r>
      <w:r w:rsidRPr="007244A8">
        <w:rPr>
          <w:sz w:val="24"/>
          <w:szCs w:val="20"/>
          <w:highlight w:val="yellow"/>
        </w:rPr>
        <w:t xml:space="preserve"> (existant entre producteurs, productions… et estimation « souhaitable ») à l’échelle de la commune.</w:t>
      </w:r>
      <w:r>
        <w:rPr>
          <w:sz w:val="24"/>
          <w:szCs w:val="20"/>
        </w:rPr>
        <w:t xml:space="preserve"> </w:t>
      </w:r>
    </w:p>
    <w:p w:rsidR="00EA4485" w:rsidRDefault="00EA4485" w:rsidP="00C631BE">
      <w:pPr>
        <w:jc w:val="both"/>
        <w:rPr>
          <w:sz w:val="24"/>
          <w:szCs w:val="20"/>
        </w:rPr>
      </w:pPr>
      <w:r>
        <w:rPr>
          <w:sz w:val="24"/>
          <w:szCs w:val="20"/>
        </w:rPr>
        <w:t xml:space="preserve">Relier les acteurs </w:t>
      </w:r>
      <w:r w:rsidR="00EE2EAA">
        <w:rPr>
          <w:sz w:val="24"/>
          <w:szCs w:val="20"/>
        </w:rPr>
        <w:t xml:space="preserve">d’un PAT </w:t>
      </w:r>
      <w:r>
        <w:rPr>
          <w:sz w:val="24"/>
          <w:szCs w:val="20"/>
        </w:rPr>
        <w:t>aux ambitions affichées dans les bulles du document suivant :</w:t>
      </w:r>
    </w:p>
    <w:p w:rsidR="00EA4485" w:rsidRPr="00C631BE" w:rsidRDefault="00EA4485" w:rsidP="00C631BE">
      <w:pPr>
        <w:jc w:val="both"/>
        <w:rPr>
          <w:sz w:val="24"/>
          <w:szCs w:val="20"/>
        </w:rPr>
      </w:pPr>
      <w:r>
        <w:rPr>
          <w:noProof/>
          <w:sz w:val="24"/>
          <w:szCs w:val="20"/>
          <w:lang w:eastAsia="fr-FR"/>
        </w:rPr>
        <w:drawing>
          <wp:inline distT="0" distB="0" distL="0" distR="0">
            <wp:extent cx="6329548" cy="6071228"/>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329829" cy="6071498"/>
                    </a:xfrm>
                    <a:prstGeom prst="rect">
                      <a:avLst/>
                    </a:prstGeom>
                    <a:noFill/>
                    <a:ln>
                      <a:noFill/>
                    </a:ln>
                  </pic:spPr>
                </pic:pic>
              </a:graphicData>
            </a:graphic>
          </wp:inline>
        </w:drawing>
      </w:r>
    </w:p>
    <w:p w:rsidR="00406A55" w:rsidRDefault="00406A55"/>
    <w:p w:rsidR="00C631BE" w:rsidRPr="00EA4485" w:rsidRDefault="00EA4485">
      <w:r w:rsidRPr="00EA4485">
        <w:t>En STAV, on peut envisager un travail sur les systèmes alimentaires (typologie de Touzard, cf. plus haut) : la replacer dans le temps, nuancer le document (limites</w:t>
      </w:r>
      <w:r>
        <w:t xml:space="preserve"> chronologiques, les systèmes s’hybrident, se chevauchent, se complètent… distinguer les systèmes classés chronologiquement et les systèmes basés sur des « valeurs », des choix éthiques) </w:t>
      </w:r>
      <w:r w:rsidR="00C631BE" w:rsidRPr="00EA4485">
        <w:br w:type="page"/>
      </w:r>
    </w:p>
    <w:p w:rsidR="00BE1515" w:rsidRPr="00C631BE" w:rsidRDefault="00BE1515" w:rsidP="00BE1515">
      <w:pPr>
        <w:jc w:val="both"/>
        <w:rPr>
          <w:sz w:val="32"/>
        </w:rPr>
      </w:pPr>
      <w:r w:rsidRPr="00C631BE">
        <w:rPr>
          <w:b/>
          <w:sz w:val="32"/>
        </w:rPr>
        <w:lastRenderedPageBreak/>
        <w:t>PISTES PEDAGOGIQUES</w:t>
      </w:r>
      <w:r w:rsidRPr="00C631BE">
        <w:rPr>
          <w:sz w:val="32"/>
        </w:rPr>
        <w:t xml:space="preserve"> </w:t>
      </w:r>
      <w:r w:rsidR="00F16EE4">
        <w:rPr>
          <w:sz w:val="32"/>
        </w:rPr>
        <w:t>BTS</w:t>
      </w:r>
    </w:p>
    <w:p w:rsidR="007244A8" w:rsidRDefault="00BE1515" w:rsidP="00BE1515">
      <w:pPr>
        <w:jc w:val="both"/>
      </w:pPr>
      <w:r>
        <w:t xml:space="preserve">Dans une classe de BTS (ACSE ou DATR), </w:t>
      </w:r>
      <w:r w:rsidR="007244A8">
        <w:t xml:space="preserve">nous vous suggérons de proposer à vos classes de participer à l’élaboration d’un PAT local. Nous avons conçu une lettre de commande qu’ils pourraient recevoir d’un élu local </w:t>
      </w:r>
      <w:r>
        <w:t xml:space="preserve">responsable de la collectivité à l’origine du projet. </w:t>
      </w:r>
      <w:r w:rsidR="007244A8">
        <w:t>Bien entendu, si votre zone élabore un PAT, ou est en voie de le faire, mettez vous en rapport avec les élus pour que la commande soit réelle et que ses résultats s’ajoutent aux autres travaux de préfiguration, cela n’en sera que plus mobilisateur… et cela situera le lycée dans le paysage (et renforcera son rôle dans la mission « animation et développement des territoires »).</w:t>
      </w:r>
    </w:p>
    <w:p w:rsidR="00BE1515" w:rsidRDefault="00BE1515" w:rsidP="00BE1515">
      <w:pPr>
        <w:jc w:val="both"/>
      </w:pPr>
      <w:r>
        <w:t xml:space="preserve">Pour réaliser le travail, </w:t>
      </w:r>
      <w:r w:rsidRPr="007244A8">
        <w:rPr>
          <w:u w:val="single"/>
        </w:rPr>
        <w:t>les outils proposés en sitographie sont indis</w:t>
      </w:r>
      <w:r w:rsidR="007244A8" w:rsidRPr="007244A8">
        <w:rPr>
          <w:u w:val="single"/>
        </w:rPr>
        <w:t>pensables</w:t>
      </w:r>
      <w:r w:rsidR="007244A8">
        <w:t xml:space="preserve"> (le convertisseur de T</w:t>
      </w:r>
      <w:r>
        <w:t>erre de liens par exemple)</w:t>
      </w:r>
    </w:p>
    <w:p w:rsidR="00BE1515" w:rsidRDefault="00BE1515" w:rsidP="00BE1515">
      <w:pPr>
        <w:jc w:val="both"/>
      </w:pPr>
    </w:p>
    <w:p w:rsidR="00BE1515" w:rsidRDefault="00BE1515" w:rsidP="00BE1515">
      <w:pPr>
        <w:jc w:val="both"/>
      </w:pPr>
      <w:r>
        <w:t xml:space="preserve">PROPOSITION DE </w:t>
      </w:r>
      <w:r w:rsidR="007244A8">
        <w:t xml:space="preserve">LETTRE DE </w:t>
      </w:r>
      <w:r>
        <w:t>COMMANDE AUX ELEVES</w:t>
      </w:r>
    </w:p>
    <w:p w:rsidR="00BE1515" w:rsidRPr="00F16EE4" w:rsidRDefault="00BE1515" w:rsidP="00BE1515">
      <w:pPr>
        <w:jc w:val="both"/>
        <w:rPr>
          <w:i/>
        </w:rPr>
      </w:pPr>
      <w:r w:rsidRPr="00F16EE4">
        <w:rPr>
          <w:i/>
        </w:rPr>
        <w:t xml:space="preserve">La communauté d’agglomération (le pays, la commune, l’intercommunalité, le PNR…) veut élaborer un projet alimentaire territorial, conformément à la loi d’avenir du 13 octobre 2014. </w:t>
      </w:r>
    </w:p>
    <w:p w:rsidR="00BE1515" w:rsidRPr="00F16EE4" w:rsidRDefault="00BE1515" w:rsidP="00BE1515">
      <w:pPr>
        <w:jc w:val="both"/>
        <w:rPr>
          <w:i/>
        </w:rPr>
      </w:pPr>
      <w:r w:rsidRPr="00F16EE4">
        <w:rPr>
          <w:i/>
        </w:rPr>
        <w:t xml:space="preserve">En tant que vice-président de cette collectivité et maire de </w:t>
      </w:r>
      <w:r w:rsidRPr="007244A8">
        <w:rPr>
          <w:i/>
          <w:highlight w:val="yellow"/>
        </w:rPr>
        <w:t>………………………</w:t>
      </w:r>
      <w:r w:rsidRPr="00F16EE4">
        <w:rPr>
          <w:i/>
        </w:rPr>
        <w:t xml:space="preserve"> où se trouve le lycée, j’ai proposé votre candidature pour expertiser ce projet.</w:t>
      </w:r>
    </w:p>
    <w:p w:rsidR="00BE1515" w:rsidRPr="007244A8" w:rsidRDefault="00BE1515" w:rsidP="00BE1515">
      <w:pPr>
        <w:jc w:val="both"/>
        <w:rPr>
          <w:i/>
        </w:rPr>
      </w:pPr>
      <w:r w:rsidRPr="007244A8">
        <w:rPr>
          <w:i/>
        </w:rPr>
        <w:t xml:space="preserve"> Je pense que votre</w:t>
      </w:r>
      <w:r w:rsidR="007244A8">
        <w:rPr>
          <w:i/>
        </w:rPr>
        <w:t xml:space="preserve"> classe est capable de réaliser</w:t>
      </w:r>
      <w:r w:rsidRPr="007244A8">
        <w:rPr>
          <w:i/>
        </w:rPr>
        <w:t xml:space="preserve"> le diagnostic du système alimentaire existant, et de nous aider à concevoir l’évolution souhaitable du système alimentaire à l’horizon 2025.</w:t>
      </w:r>
    </w:p>
    <w:p w:rsidR="00BE1515" w:rsidRPr="00F16EE4" w:rsidRDefault="00BE1515" w:rsidP="00BE1515">
      <w:pPr>
        <w:jc w:val="both"/>
        <w:rPr>
          <w:i/>
        </w:rPr>
      </w:pPr>
      <w:r w:rsidRPr="00F16EE4">
        <w:rPr>
          <w:i/>
        </w:rPr>
        <w:t>Nous souhaitons que vous nous fournissiez pour  (</w:t>
      </w:r>
      <w:r w:rsidRPr="007244A8">
        <w:rPr>
          <w:i/>
          <w:highlight w:val="yellow"/>
        </w:rPr>
        <w:t>date</w:t>
      </w:r>
      <w:r w:rsidRPr="00F16EE4">
        <w:rPr>
          <w:i/>
        </w:rPr>
        <w:t>), un dossier comprenant :</w:t>
      </w:r>
    </w:p>
    <w:p w:rsidR="00BE1515" w:rsidRPr="00F16EE4" w:rsidRDefault="00BE1515" w:rsidP="00BE1515">
      <w:pPr>
        <w:pStyle w:val="Paragraphedeliste"/>
        <w:numPr>
          <w:ilvl w:val="0"/>
          <w:numId w:val="1"/>
        </w:numPr>
        <w:jc w:val="both"/>
        <w:rPr>
          <w:i/>
        </w:rPr>
      </w:pPr>
      <w:r w:rsidRPr="00F16EE4">
        <w:rPr>
          <w:i/>
        </w:rPr>
        <w:t>Les résultats de votre diagnostic (dont cartographie)</w:t>
      </w:r>
    </w:p>
    <w:p w:rsidR="007244A8" w:rsidRDefault="00BE1515" w:rsidP="00BE1515">
      <w:pPr>
        <w:pStyle w:val="Paragraphedeliste"/>
        <w:numPr>
          <w:ilvl w:val="0"/>
          <w:numId w:val="1"/>
        </w:numPr>
        <w:jc w:val="both"/>
        <w:rPr>
          <w:i/>
        </w:rPr>
      </w:pPr>
      <w:r w:rsidRPr="00F16EE4">
        <w:rPr>
          <w:i/>
        </w:rPr>
        <w:t>Vos préconisations (dont cartographie)</w:t>
      </w:r>
    </w:p>
    <w:p w:rsidR="00BE1515" w:rsidRPr="007244A8" w:rsidRDefault="007244A8" w:rsidP="007244A8">
      <w:pPr>
        <w:jc w:val="both"/>
        <w:rPr>
          <w:i/>
        </w:rPr>
      </w:pPr>
      <w:r>
        <w:rPr>
          <w:i/>
        </w:rPr>
        <w:t>Le</w:t>
      </w:r>
      <w:r w:rsidR="00BE1515" w:rsidRPr="007244A8">
        <w:rPr>
          <w:i/>
        </w:rPr>
        <w:t xml:space="preserve"> </w:t>
      </w:r>
      <w:r w:rsidR="00BE1515" w:rsidRPr="007244A8">
        <w:rPr>
          <w:i/>
          <w:highlight w:val="yellow"/>
        </w:rPr>
        <w:t>(date</w:t>
      </w:r>
      <w:r w:rsidR="00BE1515" w:rsidRPr="007244A8">
        <w:rPr>
          <w:i/>
        </w:rPr>
        <w:t xml:space="preserve">), nous vous inviterons à présenter </w:t>
      </w:r>
      <w:r w:rsidRPr="007244A8">
        <w:rPr>
          <w:i/>
        </w:rPr>
        <w:t>l</w:t>
      </w:r>
      <w:r>
        <w:rPr>
          <w:i/>
        </w:rPr>
        <w:t>es conclusions de votre travail</w:t>
      </w:r>
      <w:r w:rsidRPr="007244A8">
        <w:rPr>
          <w:i/>
        </w:rPr>
        <w:t xml:space="preserve"> </w:t>
      </w:r>
      <w:r w:rsidR="00BE1515" w:rsidRPr="007244A8">
        <w:rPr>
          <w:i/>
        </w:rPr>
        <w:t>devant les élus en charge de ce dossie</w:t>
      </w:r>
      <w:r>
        <w:rPr>
          <w:i/>
        </w:rPr>
        <w:t>r et les acteurs concernés.</w:t>
      </w:r>
    </w:p>
    <w:p w:rsidR="00BE1515" w:rsidRPr="00F16EE4" w:rsidRDefault="00BE1515" w:rsidP="00BE1515">
      <w:pPr>
        <w:jc w:val="both"/>
        <w:rPr>
          <w:i/>
        </w:rPr>
      </w:pPr>
      <w:r w:rsidRPr="00F16EE4">
        <w:rPr>
          <w:i/>
        </w:rPr>
        <w:t>Je vous prie d’agréer, Mesdames et Messieurs les étudiants, l’expression de ma sincère considération.</w:t>
      </w:r>
    </w:p>
    <w:p w:rsidR="00BE1515" w:rsidRDefault="00BE1515" w:rsidP="00BE1515">
      <w:pPr>
        <w:pStyle w:val="Paragraphedeliste"/>
        <w:jc w:val="both"/>
      </w:pPr>
    </w:p>
    <w:p w:rsidR="00BE1515" w:rsidRDefault="00BE1515" w:rsidP="00BE1515">
      <w:pPr>
        <w:rPr>
          <w:b/>
        </w:rPr>
      </w:pPr>
    </w:p>
    <w:p w:rsidR="00BE1515" w:rsidRDefault="00BE1515">
      <w:pPr>
        <w:rPr>
          <w:b/>
        </w:rPr>
      </w:pPr>
      <w:bookmarkStart w:id="0" w:name="_GoBack"/>
      <w:bookmarkEnd w:id="0"/>
      <w:r>
        <w:rPr>
          <w:b/>
        </w:rPr>
        <w:br w:type="page"/>
      </w:r>
    </w:p>
    <w:p w:rsidR="00FF3E8D" w:rsidRPr="00D52961" w:rsidRDefault="00FF3E8D">
      <w:pPr>
        <w:rPr>
          <w:b/>
          <w:sz w:val="40"/>
        </w:rPr>
      </w:pPr>
      <w:r w:rsidRPr="00D52961">
        <w:rPr>
          <w:b/>
          <w:sz w:val="40"/>
        </w:rPr>
        <w:lastRenderedPageBreak/>
        <w:t>BIBLIOGRAPHIE</w:t>
      </w:r>
      <w:r w:rsidR="00CD218D" w:rsidRPr="00D52961">
        <w:rPr>
          <w:b/>
          <w:sz w:val="40"/>
        </w:rPr>
        <w:t xml:space="preserve"> INDICATIVE</w:t>
      </w:r>
    </w:p>
    <w:p w:rsidR="007244A8" w:rsidRPr="00CD218D" w:rsidRDefault="007244A8" w:rsidP="007244A8">
      <w:pPr>
        <w:rPr>
          <w:sz w:val="28"/>
        </w:rPr>
      </w:pPr>
      <w:proofErr w:type="spellStart"/>
      <w:r>
        <w:rPr>
          <w:sz w:val="28"/>
        </w:rPr>
        <w:t>Philipon</w:t>
      </w:r>
      <w:proofErr w:type="spellEnd"/>
      <w:r>
        <w:rPr>
          <w:sz w:val="28"/>
        </w:rPr>
        <w:t xml:space="preserve"> P, </w:t>
      </w:r>
      <w:proofErr w:type="spellStart"/>
      <w:r>
        <w:rPr>
          <w:sz w:val="28"/>
        </w:rPr>
        <w:t>Chiffoleau</w:t>
      </w:r>
      <w:proofErr w:type="spellEnd"/>
      <w:r>
        <w:rPr>
          <w:sz w:val="28"/>
        </w:rPr>
        <w:t xml:space="preserve"> Y, </w:t>
      </w:r>
      <w:proofErr w:type="spellStart"/>
      <w:r>
        <w:rPr>
          <w:sz w:val="28"/>
        </w:rPr>
        <w:t>Wallet</w:t>
      </w:r>
      <w:proofErr w:type="spellEnd"/>
      <w:r>
        <w:rPr>
          <w:sz w:val="28"/>
        </w:rPr>
        <w:t xml:space="preserve"> F, </w:t>
      </w:r>
      <w:r w:rsidRPr="00B50842">
        <w:rPr>
          <w:i/>
          <w:sz w:val="28"/>
        </w:rPr>
        <w:t>Et si on mangeait local ?,</w:t>
      </w:r>
      <w:r>
        <w:rPr>
          <w:sz w:val="28"/>
        </w:rPr>
        <w:t xml:space="preserve"> Quae, 2017</w:t>
      </w:r>
    </w:p>
    <w:p w:rsidR="00CD218D" w:rsidRPr="00CD218D" w:rsidRDefault="00CD218D">
      <w:pPr>
        <w:rPr>
          <w:b/>
          <w:sz w:val="28"/>
        </w:rPr>
      </w:pPr>
      <w:proofErr w:type="spellStart"/>
      <w:r w:rsidRPr="00CD218D">
        <w:rPr>
          <w:sz w:val="28"/>
        </w:rPr>
        <w:t>Mundler</w:t>
      </w:r>
      <w:proofErr w:type="spellEnd"/>
      <w:r w:rsidRPr="00CD218D">
        <w:rPr>
          <w:sz w:val="28"/>
        </w:rPr>
        <w:t xml:space="preserve"> P, </w:t>
      </w:r>
      <w:proofErr w:type="spellStart"/>
      <w:r w:rsidRPr="00CD218D">
        <w:rPr>
          <w:sz w:val="28"/>
        </w:rPr>
        <w:t>Rouchier</w:t>
      </w:r>
      <w:proofErr w:type="spellEnd"/>
      <w:r w:rsidRPr="00CD218D">
        <w:rPr>
          <w:sz w:val="28"/>
        </w:rPr>
        <w:t xml:space="preserve"> J, </w:t>
      </w:r>
      <w:r w:rsidRPr="00CD218D">
        <w:rPr>
          <w:i/>
          <w:sz w:val="28"/>
        </w:rPr>
        <w:t>Alimentation et proximités</w:t>
      </w:r>
      <w:r w:rsidRPr="00CD218D">
        <w:rPr>
          <w:b/>
          <w:sz w:val="28"/>
        </w:rPr>
        <w:t xml:space="preserve">, </w:t>
      </w:r>
      <w:proofErr w:type="spellStart"/>
      <w:r w:rsidRPr="00CD218D">
        <w:rPr>
          <w:sz w:val="28"/>
        </w:rPr>
        <w:t>Educagri</w:t>
      </w:r>
      <w:proofErr w:type="spellEnd"/>
      <w:r w:rsidRPr="00CD218D">
        <w:rPr>
          <w:sz w:val="28"/>
        </w:rPr>
        <w:t>, 2016</w:t>
      </w:r>
    </w:p>
    <w:p w:rsidR="00406A55" w:rsidRPr="00CD218D" w:rsidRDefault="00CD218D">
      <w:pPr>
        <w:rPr>
          <w:sz w:val="28"/>
        </w:rPr>
      </w:pPr>
      <w:proofErr w:type="spellStart"/>
      <w:r w:rsidRPr="00CD218D">
        <w:rPr>
          <w:sz w:val="28"/>
        </w:rPr>
        <w:t>Prigent</w:t>
      </w:r>
      <w:proofErr w:type="spellEnd"/>
      <w:r w:rsidRPr="00CD218D">
        <w:rPr>
          <w:sz w:val="28"/>
        </w:rPr>
        <w:t>-</w:t>
      </w:r>
      <w:proofErr w:type="spellStart"/>
      <w:r w:rsidRPr="00CD218D">
        <w:rPr>
          <w:sz w:val="28"/>
        </w:rPr>
        <w:t>Simonin</w:t>
      </w:r>
      <w:proofErr w:type="spellEnd"/>
      <w:r w:rsidRPr="00CD218D">
        <w:rPr>
          <w:sz w:val="28"/>
        </w:rPr>
        <w:t xml:space="preserve"> AH, Hérault-Fournier C, </w:t>
      </w:r>
      <w:r w:rsidRPr="00CD218D">
        <w:rPr>
          <w:i/>
          <w:sz w:val="28"/>
        </w:rPr>
        <w:t>Au plus près de l’assiette, pérenniser les circuits courts alimentaires</w:t>
      </w:r>
      <w:r w:rsidRPr="00CD218D">
        <w:rPr>
          <w:sz w:val="28"/>
        </w:rPr>
        <w:t xml:space="preserve">, </w:t>
      </w:r>
      <w:proofErr w:type="spellStart"/>
      <w:r w:rsidRPr="00CD218D">
        <w:rPr>
          <w:sz w:val="28"/>
        </w:rPr>
        <w:t>Quae</w:t>
      </w:r>
      <w:proofErr w:type="spellEnd"/>
      <w:r w:rsidRPr="00CD218D">
        <w:rPr>
          <w:sz w:val="28"/>
        </w:rPr>
        <w:t xml:space="preserve"> </w:t>
      </w:r>
      <w:proofErr w:type="spellStart"/>
      <w:r w:rsidRPr="00CD218D">
        <w:rPr>
          <w:sz w:val="28"/>
        </w:rPr>
        <w:t>Educagri</w:t>
      </w:r>
      <w:proofErr w:type="spellEnd"/>
      <w:r w:rsidRPr="00CD218D">
        <w:rPr>
          <w:sz w:val="28"/>
        </w:rPr>
        <w:t>, 2012</w:t>
      </w:r>
    </w:p>
    <w:p w:rsidR="00CD218D" w:rsidRDefault="00CD218D">
      <w:pPr>
        <w:rPr>
          <w:sz w:val="28"/>
        </w:rPr>
      </w:pPr>
      <w:proofErr w:type="spellStart"/>
      <w:r w:rsidRPr="00CD218D">
        <w:rPr>
          <w:sz w:val="28"/>
        </w:rPr>
        <w:t>Traversac</w:t>
      </w:r>
      <w:proofErr w:type="spellEnd"/>
      <w:r w:rsidRPr="00CD218D">
        <w:rPr>
          <w:sz w:val="28"/>
        </w:rPr>
        <w:t xml:space="preserve"> JB, </w:t>
      </w:r>
      <w:r w:rsidRPr="00B50842">
        <w:rPr>
          <w:i/>
          <w:sz w:val="28"/>
        </w:rPr>
        <w:t>Circuits courts, Contribution au développement régional</w:t>
      </w:r>
      <w:r w:rsidRPr="00CD218D">
        <w:rPr>
          <w:sz w:val="28"/>
        </w:rPr>
        <w:t xml:space="preserve">, </w:t>
      </w:r>
      <w:proofErr w:type="spellStart"/>
      <w:r w:rsidRPr="00CD218D">
        <w:rPr>
          <w:sz w:val="28"/>
        </w:rPr>
        <w:t>Educagri</w:t>
      </w:r>
      <w:proofErr w:type="spellEnd"/>
      <w:r w:rsidRPr="00CD218D">
        <w:rPr>
          <w:sz w:val="28"/>
        </w:rPr>
        <w:t>, 2010</w:t>
      </w:r>
    </w:p>
    <w:p w:rsidR="00D52961" w:rsidRDefault="00B50842">
      <w:pPr>
        <w:rPr>
          <w:sz w:val="28"/>
        </w:rPr>
      </w:pPr>
      <w:r>
        <w:rPr>
          <w:sz w:val="28"/>
        </w:rPr>
        <w:t xml:space="preserve">Maréchal G, </w:t>
      </w:r>
      <w:r w:rsidRPr="00B50842">
        <w:rPr>
          <w:i/>
          <w:sz w:val="28"/>
        </w:rPr>
        <w:t>les circuits courts alimentaires, Bien manger dans les territoires</w:t>
      </w:r>
      <w:r>
        <w:rPr>
          <w:sz w:val="28"/>
        </w:rPr>
        <w:t xml:space="preserve">, </w:t>
      </w:r>
      <w:proofErr w:type="spellStart"/>
      <w:r>
        <w:rPr>
          <w:sz w:val="28"/>
        </w:rPr>
        <w:t>Educagri</w:t>
      </w:r>
      <w:proofErr w:type="spellEnd"/>
      <w:r>
        <w:rPr>
          <w:sz w:val="28"/>
        </w:rPr>
        <w:t>, 2008</w:t>
      </w:r>
    </w:p>
    <w:p w:rsidR="007244A8" w:rsidRDefault="007244A8" w:rsidP="007244A8">
      <w:pPr>
        <w:spacing w:after="0"/>
        <w:rPr>
          <w:sz w:val="28"/>
        </w:rPr>
      </w:pPr>
      <w:r>
        <w:rPr>
          <w:sz w:val="28"/>
        </w:rPr>
        <w:t xml:space="preserve">Darrot C, « Rennes, ville vivrière ? », </w:t>
      </w:r>
      <w:r w:rsidRPr="007244A8">
        <w:rPr>
          <w:i/>
          <w:sz w:val="28"/>
        </w:rPr>
        <w:t>POUR</w:t>
      </w:r>
      <w:r>
        <w:rPr>
          <w:i/>
          <w:sz w:val="28"/>
        </w:rPr>
        <w:t>,</w:t>
      </w:r>
      <w:r>
        <w:rPr>
          <w:sz w:val="28"/>
        </w:rPr>
        <w:t xml:space="preserve"> n°224, 2014/4 </w:t>
      </w:r>
    </w:p>
    <w:p w:rsidR="007244A8" w:rsidRDefault="00357DD4" w:rsidP="007244A8">
      <w:pPr>
        <w:spacing w:after="0"/>
        <w:rPr>
          <w:sz w:val="28"/>
        </w:rPr>
      </w:pPr>
      <w:hyperlink r:id="rId15" w:history="1">
        <w:r w:rsidR="007244A8" w:rsidRPr="007244A8">
          <w:rPr>
            <w:rStyle w:val="Lienhypertexte"/>
            <w:sz w:val="28"/>
          </w:rPr>
          <w:t>https://www.cairn.info/revue-pour-2014-4-page-405.htm</w:t>
        </w:r>
      </w:hyperlink>
    </w:p>
    <w:p w:rsidR="00FF3E8D" w:rsidRPr="00D52961" w:rsidRDefault="00FF3E8D">
      <w:pPr>
        <w:rPr>
          <w:b/>
          <w:sz w:val="40"/>
        </w:rPr>
      </w:pPr>
      <w:r w:rsidRPr="00D52961">
        <w:rPr>
          <w:b/>
          <w:sz w:val="40"/>
        </w:rPr>
        <w:t>SITOGRAPHIE (liens utiles)</w:t>
      </w:r>
    </w:p>
    <w:p w:rsidR="001F135D" w:rsidRPr="00632078" w:rsidRDefault="00357DD4">
      <w:pPr>
        <w:rPr>
          <w:rFonts w:ascii="Arial" w:hAnsi="Arial" w:cs="Arial"/>
          <w:sz w:val="28"/>
          <w:szCs w:val="28"/>
        </w:rPr>
      </w:pPr>
      <w:hyperlink r:id="rId16" w:history="1">
        <w:r w:rsidR="00CD218D" w:rsidRPr="00632078">
          <w:rPr>
            <w:rStyle w:val="Lienhypertexte"/>
            <w:rFonts w:ascii="Arial" w:hAnsi="Arial" w:cs="Arial"/>
            <w:sz w:val="28"/>
            <w:szCs w:val="28"/>
          </w:rPr>
          <w:t>http://rnpat.fr/</w:t>
        </w:r>
      </w:hyperlink>
      <w:r w:rsidR="001F135D">
        <w:rPr>
          <w:rFonts w:ascii="Arial" w:hAnsi="Arial" w:cs="Arial"/>
          <w:sz w:val="28"/>
          <w:szCs w:val="28"/>
        </w:rPr>
        <w:t xml:space="preserve">   Site officiel du réseau des PAT, on y trouve des infos nécessaires pour commencer à travailler sur le sujet (carte des PAT, grandes lignes des projets, vidéos…)</w:t>
      </w:r>
    </w:p>
    <w:p w:rsidR="00FA196C" w:rsidRPr="00632078" w:rsidRDefault="00357DD4">
      <w:pPr>
        <w:rPr>
          <w:rFonts w:ascii="Arial" w:hAnsi="Arial" w:cs="Arial"/>
          <w:sz w:val="28"/>
          <w:szCs w:val="28"/>
        </w:rPr>
      </w:pPr>
      <w:hyperlink r:id="rId17" w:history="1">
        <w:r w:rsidR="00406A55" w:rsidRPr="00632078">
          <w:rPr>
            <w:rStyle w:val="Lienhypertexte"/>
            <w:rFonts w:ascii="Arial" w:hAnsi="Arial" w:cs="Arial"/>
            <w:sz w:val="28"/>
            <w:szCs w:val="28"/>
          </w:rPr>
          <w:t>http://draaf.auvergne-rhone-alpes.agriculture.gouv.fr/IMG/pdf/Reperes_et_outils_pour_construire_votre_Projet_Alimentaire_Territorial_auvergne_cle813e8a.pdf</w:t>
        </w:r>
      </w:hyperlink>
      <w:r w:rsidR="001F135D">
        <w:rPr>
          <w:rFonts w:ascii="Arial" w:hAnsi="Arial" w:cs="Arial"/>
          <w:sz w:val="28"/>
          <w:szCs w:val="28"/>
        </w:rPr>
        <w:t xml:space="preserve">  « La mine d’or » (Camille)</w:t>
      </w:r>
      <w:r w:rsidR="001F135D" w:rsidRPr="001F135D">
        <w:rPr>
          <w:rFonts w:ascii="Arial" w:hAnsi="Arial" w:cs="Arial"/>
          <w:sz w:val="28"/>
          <w:szCs w:val="28"/>
        </w:rPr>
        <w:t xml:space="preserve"> </w:t>
      </w:r>
      <w:r w:rsidR="001F135D">
        <w:rPr>
          <w:rFonts w:ascii="Arial" w:hAnsi="Arial" w:cs="Arial"/>
          <w:sz w:val="28"/>
          <w:szCs w:val="28"/>
        </w:rPr>
        <w:t>Important pour avoir des conseils sur la méthode</w:t>
      </w:r>
    </w:p>
    <w:p w:rsidR="00406A55" w:rsidRPr="00632078" w:rsidRDefault="00357DD4">
      <w:pPr>
        <w:rPr>
          <w:rFonts w:ascii="Arial" w:hAnsi="Arial" w:cs="Arial"/>
          <w:sz w:val="28"/>
          <w:szCs w:val="28"/>
        </w:rPr>
      </w:pPr>
      <w:hyperlink r:id="rId18" w:history="1">
        <w:r w:rsidR="00406A55" w:rsidRPr="00632078">
          <w:rPr>
            <w:rStyle w:val="Lienhypertexte"/>
            <w:rFonts w:ascii="Arial" w:hAnsi="Arial" w:cs="Arial"/>
            <w:sz w:val="28"/>
            <w:szCs w:val="28"/>
          </w:rPr>
          <w:t>http://rnpat.fr/wp-content/uploads/2017/10/RnPAT1.1_ArticChampsPAT_2017.pdf</w:t>
        </w:r>
      </w:hyperlink>
      <w:r w:rsidR="001F135D">
        <w:rPr>
          <w:rFonts w:ascii="Arial" w:hAnsi="Arial" w:cs="Arial"/>
          <w:sz w:val="28"/>
          <w:szCs w:val="28"/>
        </w:rPr>
        <w:t xml:space="preserve">  Des exemples de projets passés au crible. </w:t>
      </w:r>
    </w:p>
    <w:p w:rsidR="007244A8" w:rsidRDefault="00357DD4" w:rsidP="00406A55">
      <w:pPr>
        <w:rPr>
          <w:rFonts w:ascii="Arial" w:hAnsi="Arial" w:cs="Arial"/>
          <w:sz w:val="28"/>
          <w:szCs w:val="28"/>
        </w:rPr>
      </w:pPr>
      <w:hyperlink r:id="rId19" w:history="1">
        <w:r w:rsidR="00CD218D" w:rsidRPr="00632078">
          <w:rPr>
            <w:rStyle w:val="Lienhypertexte"/>
            <w:rFonts w:ascii="Arial" w:hAnsi="Arial" w:cs="Arial"/>
            <w:sz w:val="28"/>
            <w:szCs w:val="28"/>
          </w:rPr>
          <w:t>http://convertisseur.terredeliensnormandie.org/</w:t>
        </w:r>
      </w:hyperlink>
      <w:r w:rsidR="001F135D">
        <w:rPr>
          <w:rFonts w:ascii="Arial" w:hAnsi="Arial" w:cs="Arial"/>
          <w:sz w:val="28"/>
          <w:szCs w:val="28"/>
        </w:rPr>
        <w:t xml:space="preserve">  </w:t>
      </w:r>
      <w:r w:rsidR="007244A8">
        <w:rPr>
          <w:rFonts w:ascii="Arial" w:hAnsi="Arial" w:cs="Arial"/>
          <w:sz w:val="28"/>
          <w:szCs w:val="28"/>
        </w:rPr>
        <w:t>Outil conçu par Terre de liens en N</w:t>
      </w:r>
      <w:r w:rsidR="001F135D">
        <w:rPr>
          <w:rFonts w:ascii="Arial" w:hAnsi="Arial" w:cs="Arial"/>
          <w:sz w:val="28"/>
          <w:szCs w:val="28"/>
        </w:rPr>
        <w:t xml:space="preserve">ormandie qui permet d’évaluer la surface agricole et le nombre d’emplois créés en relocalisant l’alimentation (par commune). Lire la méthodologie avant de l’utiliser. </w:t>
      </w:r>
      <w:r w:rsidR="007244A8">
        <w:rPr>
          <w:rFonts w:ascii="Arial" w:hAnsi="Arial" w:cs="Arial"/>
          <w:sz w:val="28"/>
          <w:szCs w:val="28"/>
        </w:rPr>
        <w:t>Le cas échéant l’adapter avec l’appui des collègues des disciplines techniques, vous ne pourrez pas intervenir dans l’algorithme du convertisseur mais vous pourrez mieux adapter les réponses cartographiques</w:t>
      </w:r>
    </w:p>
    <w:p w:rsidR="00CD218D" w:rsidRPr="007F0BC2" w:rsidRDefault="00357DD4" w:rsidP="00406A55">
      <w:pPr>
        <w:rPr>
          <w:rFonts w:ascii="Arial" w:hAnsi="Arial" w:cs="Arial"/>
          <w:color w:val="000000"/>
          <w:sz w:val="28"/>
          <w:szCs w:val="28"/>
        </w:rPr>
      </w:pPr>
      <w:hyperlink r:id="rId20" w:history="1">
        <w:r w:rsidR="00632078" w:rsidRPr="007F0BC2">
          <w:rPr>
            <w:rStyle w:val="Lienhypertexte"/>
            <w:rFonts w:ascii="Arial" w:hAnsi="Arial" w:cs="Arial"/>
            <w:sz w:val="28"/>
            <w:szCs w:val="28"/>
          </w:rPr>
          <w:t>https://www.psdr-ra.fr/BOITE-A-OUTILS/Circuits-courts-et-proximite/Liproco-les-Carnets-Pro</w:t>
        </w:r>
      </w:hyperlink>
      <w:r w:rsidR="001F135D" w:rsidRPr="007F0BC2">
        <w:rPr>
          <w:rFonts w:ascii="Arial" w:hAnsi="Arial" w:cs="Arial"/>
          <w:color w:val="000000"/>
          <w:sz w:val="28"/>
          <w:szCs w:val="28"/>
        </w:rPr>
        <w:t xml:space="preserve">  </w:t>
      </w:r>
      <w:r w:rsidR="00D52961" w:rsidRPr="007F0BC2">
        <w:rPr>
          <w:rFonts w:ascii="Arial" w:hAnsi="Arial" w:cs="Arial"/>
          <w:color w:val="000000"/>
          <w:sz w:val="28"/>
          <w:szCs w:val="28"/>
        </w:rPr>
        <w:t>outils méthodologiques pour lancer une démarche circuits-courts</w:t>
      </w:r>
    </w:p>
    <w:p w:rsidR="00632078" w:rsidRPr="007F0BC2" w:rsidRDefault="00632078" w:rsidP="00406A55">
      <w:pPr>
        <w:rPr>
          <w:rFonts w:ascii="Helvetica Neue" w:hAnsi="Helvetica Neue" w:cs="Helvetica Neue"/>
          <w:color w:val="000000"/>
          <w:sz w:val="28"/>
          <w:szCs w:val="28"/>
        </w:rPr>
      </w:pPr>
    </w:p>
    <w:p w:rsidR="00632078" w:rsidRPr="00CD218D" w:rsidRDefault="00632078" w:rsidP="00406A55">
      <w:pPr>
        <w:rPr>
          <w:sz w:val="24"/>
        </w:rPr>
      </w:pPr>
    </w:p>
    <w:p w:rsidR="00FA196C" w:rsidRDefault="00FA196C"/>
    <w:sectPr w:rsidR="00FA196C" w:rsidSect="00B50842">
      <w:pgSz w:w="11906" w:h="16838"/>
      <w:pgMar w:top="709" w:right="849"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38DF"/>
    <w:multiLevelType w:val="hybridMultilevel"/>
    <w:tmpl w:val="FD90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45672C"/>
    <w:multiLevelType w:val="hybridMultilevel"/>
    <w:tmpl w:val="921A8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3C4621"/>
    <w:multiLevelType w:val="hybridMultilevel"/>
    <w:tmpl w:val="23F85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D4962D5"/>
    <w:multiLevelType w:val="hybridMultilevel"/>
    <w:tmpl w:val="9538F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A196C"/>
    <w:rsid w:val="000448D3"/>
    <w:rsid w:val="00054282"/>
    <w:rsid w:val="00090450"/>
    <w:rsid w:val="0014090C"/>
    <w:rsid w:val="001F135D"/>
    <w:rsid w:val="002371FA"/>
    <w:rsid w:val="002535B6"/>
    <w:rsid w:val="0031051B"/>
    <w:rsid w:val="00357DD4"/>
    <w:rsid w:val="00406A55"/>
    <w:rsid w:val="00632078"/>
    <w:rsid w:val="007244A8"/>
    <w:rsid w:val="007F0BC2"/>
    <w:rsid w:val="00862A74"/>
    <w:rsid w:val="00A029E0"/>
    <w:rsid w:val="00AA1D7B"/>
    <w:rsid w:val="00B2631A"/>
    <w:rsid w:val="00B50842"/>
    <w:rsid w:val="00B565F8"/>
    <w:rsid w:val="00B81373"/>
    <w:rsid w:val="00BC2FD9"/>
    <w:rsid w:val="00BE1515"/>
    <w:rsid w:val="00C23264"/>
    <w:rsid w:val="00C631BE"/>
    <w:rsid w:val="00CD218D"/>
    <w:rsid w:val="00CE7939"/>
    <w:rsid w:val="00D52961"/>
    <w:rsid w:val="00DD59B4"/>
    <w:rsid w:val="00EA4485"/>
    <w:rsid w:val="00EE2EAA"/>
    <w:rsid w:val="00F16EE4"/>
    <w:rsid w:val="00FA196C"/>
    <w:rsid w:val="00FC2656"/>
    <w:rsid w:val="00FF3E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DD4"/>
  </w:style>
  <w:style w:type="paragraph" w:styleId="Titre1">
    <w:name w:val="heading 1"/>
    <w:basedOn w:val="Normal"/>
    <w:link w:val="Titre1Car"/>
    <w:uiPriority w:val="9"/>
    <w:qFormat/>
    <w:rsid w:val="00AA1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1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6C"/>
    <w:rPr>
      <w:rFonts w:ascii="Tahoma" w:hAnsi="Tahoma" w:cs="Tahoma"/>
      <w:sz w:val="16"/>
      <w:szCs w:val="16"/>
    </w:rPr>
  </w:style>
  <w:style w:type="paragraph" w:styleId="Paragraphedeliste">
    <w:name w:val="List Paragraph"/>
    <w:basedOn w:val="Normal"/>
    <w:uiPriority w:val="34"/>
    <w:qFormat/>
    <w:rsid w:val="00090450"/>
    <w:pPr>
      <w:ind w:left="720"/>
      <w:contextualSpacing/>
    </w:pPr>
  </w:style>
  <w:style w:type="character" w:styleId="Lienhypertexte">
    <w:name w:val="Hyperlink"/>
    <w:basedOn w:val="Policepardfaut"/>
    <w:uiPriority w:val="99"/>
    <w:unhideWhenUsed/>
    <w:rsid w:val="00406A55"/>
    <w:rPr>
      <w:color w:val="0000FF" w:themeColor="hyperlink"/>
      <w:u w:val="single"/>
    </w:rPr>
  </w:style>
  <w:style w:type="character" w:customStyle="1" w:styleId="Titre1Car">
    <w:name w:val="Titre 1 Car"/>
    <w:basedOn w:val="Policepardfaut"/>
    <w:link w:val="Titre1"/>
    <w:uiPriority w:val="9"/>
    <w:rsid w:val="00AA1D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A1D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acer-md">
    <w:name w:val="spacer-md"/>
    <w:basedOn w:val="Normal"/>
    <w:rsid w:val="00AA1D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7244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A1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19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196C"/>
    <w:rPr>
      <w:rFonts w:ascii="Tahoma" w:hAnsi="Tahoma" w:cs="Tahoma"/>
      <w:sz w:val="16"/>
      <w:szCs w:val="16"/>
    </w:rPr>
  </w:style>
  <w:style w:type="paragraph" w:styleId="Paragraphedeliste">
    <w:name w:val="List Paragraph"/>
    <w:basedOn w:val="Normal"/>
    <w:uiPriority w:val="34"/>
    <w:qFormat/>
    <w:rsid w:val="00090450"/>
    <w:pPr>
      <w:ind w:left="720"/>
      <w:contextualSpacing/>
    </w:pPr>
  </w:style>
  <w:style w:type="character" w:styleId="Lienhypertexte">
    <w:name w:val="Hyperlink"/>
    <w:basedOn w:val="Policepardfaut"/>
    <w:uiPriority w:val="99"/>
    <w:unhideWhenUsed/>
    <w:rsid w:val="00406A55"/>
    <w:rPr>
      <w:color w:val="0000FF" w:themeColor="hyperlink"/>
      <w:u w:val="single"/>
    </w:rPr>
  </w:style>
  <w:style w:type="character" w:customStyle="1" w:styleId="Titre1Car">
    <w:name w:val="Titre 1 Car"/>
    <w:basedOn w:val="Policepardfaut"/>
    <w:link w:val="Titre1"/>
    <w:uiPriority w:val="9"/>
    <w:rsid w:val="00AA1D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AA1D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acer-md">
    <w:name w:val="spacer-md"/>
    <w:basedOn w:val="Normal"/>
    <w:rsid w:val="00AA1D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
    <w:name w:val="FollowedHyperlink"/>
    <w:basedOn w:val="Policepardfaut"/>
    <w:uiPriority w:val="99"/>
    <w:semiHidden/>
    <w:unhideWhenUsed/>
    <w:rsid w:val="007244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49615375">
      <w:bodyDiv w:val="1"/>
      <w:marLeft w:val="0"/>
      <w:marRight w:val="0"/>
      <w:marTop w:val="0"/>
      <w:marBottom w:val="0"/>
      <w:divBdr>
        <w:top w:val="none" w:sz="0" w:space="0" w:color="auto"/>
        <w:left w:val="none" w:sz="0" w:space="0" w:color="auto"/>
        <w:bottom w:val="none" w:sz="0" w:space="0" w:color="auto"/>
        <w:right w:val="none" w:sz="0" w:space="0" w:color="auto"/>
      </w:divBdr>
      <w:divsChild>
        <w:div w:id="1093892330">
          <w:marLeft w:val="0"/>
          <w:marRight w:val="0"/>
          <w:marTop w:val="0"/>
          <w:marBottom w:val="0"/>
          <w:divBdr>
            <w:top w:val="none" w:sz="0" w:space="0" w:color="auto"/>
            <w:left w:val="none" w:sz="0" w:space="0" w:color="auto"/>
            <w:bottom w:val="none" w:sz="0" w:space="0" w:color="auto"/>
            <w:right w:val="none" w:sz="0" w:space="0" w:color="auto"/>
          </w:divBdr>
          <w:divsChild>
            <w:div w:id="1862931145">
              <w:marLeft w:val="0"/>
              <w:marRight w:val="0"/>
              <w:marTop w:val="0"/>
              <w:marBottom w:val="0"/>
              <w:divBdr>
                <w:top w:val="none" w:sz="0" w:space="0" w:color="auto"/>
                <w:left w:val="none" w:sz="0" w:space="0" w:color="auto"/>
                <w:bottom w:val="none" w:sz="0" w:space="0" w:color="auto"/>
                <w:right w:val="none" w:sz="0" w:space="0" w:color="auto"/>
              </w:divBdr>
              <w:divsChild>
                <w:div w:id="104991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hyperlink" Target="http://www.legifrance.gouv.fr/affichTexte.do;jsessionid=F3F6FC032F2EDD797976AF8D2CC33491.tpdjo15v_2?cidTexte=JORFTEXT000029313296&amp;categorieLien=id" TargetMode="External"/><Relationship Id="rId18" Type="http://schemas.openxmlformats.org/officeDocument/2006/relationships/hyperlink" Target="http://rnpat.fr/wp-content/uploads/2017/10/RnPAT1.1_ArticChampsPAT_2017.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hyperlink" Target="https://www.economie.gouv.fr/economie-sociale-et-solidaire-de-quoi-parle-t-on" TargetMode="External"/><Relationship Id="rId17" Type="http://schemas.openxmlformats.org/officeDocument/2006/relationships/hyperlink" Target="http://draaf.auvergne-rhone-alpes.agriculture.gouv.fr/IMG/pdf/Reperes_et_outils_pour_construire_votre_Projet_Alimentaire_Territorial_auvergne_cle813e8a.pdf" TargetMode="External"/><Relationship Id="rId2" Type="http://schemas.openxmlformats.org/officeDocument/2006/relationships/styles" Target="styles.xml"/><Relationship Id="rId16" Type="http://schemas.openxmlformats.org/officeDocument/2006/relationships/hyperlink" Target="http://rnpat.fr/" TargetMode="External"/><Relationship Id="rId20" Type="http://schemas.openxmlformats.org/officeDocument/2006/relationships/hyperlink" Target="https://www.psdr-ra.fr/BOITE-A-OUTILS/Circuits-courts-et-proximite/Liproco-les-Carnets-Pr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www.cairn.info/revue-pour-2014-4-page-405.htm" TargetMode="External"/><Relationship Id="rId23" Type="http://schemas.microsoft.com/office/2007/relationships/stylesWithEffects" Target="stylesWithEffects.xml"/><Relationship Id="rId10" Type="http://schemas.openxmlformats.org/officeDocument/2006/relationships/image" Target="media/image6.emf"/><Relationship Id="rId19" Type="http://schemas.openxmlformats.org/officeDocument/2006/relationships/hyperlink" Target="http://convertisseur.terredeliensnormandie.org/"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8.emf"/><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1301</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venours</dc:creator>
  <cp:lastModifiedBy>tony</cp:lastModifiedBy>
  <cp:revision>23</cp:revision>
  <dcterms:created xsi:type="dcterms:W3CDTF">2018-05-29T09:34:00Z</dcterms:created>
  <dcterms:modified xsi:type="dcterms:W3CDTF">2018-06-10T16:26:00Z</dcterms:modified>
</cp:coreProperties>
</file>